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EC" w:rsidRDefault="002817EB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084EEC" w:rsidRDefault="002817EB">
      <w:pPr>
        <w:bidi/>
        <w:jc w:val="center"/>
        <w:rPr>
          <w:sz w:val="48"/>
          <w:szCs w:val="48"/>
        </w:rPr>
      </w:pPr>
      <w:bookmarkStart w:id="0" w:name="_heading=h.gjdgxs"/>
      <w:bookmarkEnd w:id="0"/>
      <w:r>
        <w:rPr>
          <w:sz w:val="48"/>
          <w:szCs w:val="48"/>
          <w:rtl/>
        </w:rPr>
        <w:t>نموذج وصف المادة الدراسية</w:t>
      </w:r>
    </w:p>
    <w:p w:rsidR="00084EEC" w:rsidRDefault="00084EEC">
      <w:pPr>
        <w:bidi/>
        <w:jc w:val="center"/>
        <w:rPr>
          <w:sz w:val="24"/>
          <w:szCs w:val="24"/>
        </w:rPr>
      </w:pPr>
    </w:p>
    <w:p w:rsidR="00084EEC" w:rsidRDefault="00084EEC">
      <w:pPr>
        <w:bidi/>
        <w:jc w:val="center"/>
        <w:rPr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4"/>
        <w:gridCol w:w="810"/>
        <w:gridCol w:w="522"/>
        <w:gridCol w:w="152"/>
        <w:gridCol w:w="2188"/>
        <w:gridCol w:w="1061"/>
        <w:gridCol w:w="169"/>
        <w:gridCol w:w="632"/>
        <w:gridCol w:w="435"/>
        <w:gridCol w:w="1031"/>
        <w:gridCol w:w="573"/>
        <w:gridCol w:w="1128"/>
      </w:tblGrid>
      <w:tr w:rsidR="00084EEC">
        <w:trPr>
          <w:trHeight w:val="28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084EEC" w:rsidRDefault="002817EB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084EEC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BB0AF9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BB0AF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Microprocessors and Applications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Delivery</w:t>
            </w:r>
          </w:p>
        </w:tc>
      </w:tr>
      <w:tr w:rsidR="00084EEC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2817EB">
            <w:pPr>
              <w:numPr>
                <w:ilvl w:val="0"/>
                <w:numId w:val="2"/>
              </w:numPr>
              <w:spacing w:before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Theory    </w:t>
            </w:r>
          </w:p>
          <w:p w:rsidR="00084EEC" w:rsidRDefault="002817EB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>Lecture</w:t>
            </w:r>
          </w:p>
          <w:p w:rsidR="00084EEC" w:rsidRDefault="002817EB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Lab </w:t>
            </w:r>
          </w:p>
          <w:p w:rsidR="00084EEC" w:rsidRDefault="002817EB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Tutorial</w:t>
            </w:r>
          </w:p>
          <w:p w:rsidR="00084EEC" w:rsidRDefault="002817EB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Practical</w:t>
            </w:r>
          </w:p>
          <w:p w:rsidR="00084EEC" w:rsidRDefault="002817EB">
            <w:pPr>
              <w:numPr>
                <w:ilvl w:val="0"/>
                <w:numId w:val="1"/>
              </w:numPr>
              <w:spacing w:after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 xml:space="preserve"> Seminar</w:t>
            </w:r>
          </w:p>
        </w:tc>
      </w:tr>
      <w:tr w:rsidR="00084EEC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BB0AF9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BB0AF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MIAP315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084EEC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084EEC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  <w:shd w:val="clear" w:color="auto" w:fill="E8EAED"/>
              </w:rPr>
              <w:t>6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084EEC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084EEC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  <w:t>50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084EEC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084EEC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Level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 w:rsidP="00BB0AF9">
            <w:pPr>
              <w:spacing w:before="80" w:after="80"/>
              <w:ind w:hanging="72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UGx11  </w:t>
            </w:r>
            <w:r w:rsidR="00BB0AF9">
              <w:rPr>
                <w:rFonts w:cstheme="majorHAnsi"/>
              </w:rPr>
              <w:t>3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Semester of Delivery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</w:t>
            </w:r>
          </w:p>
        </w:tc>
      </w:tr>
      <w:tr w:rsidR="00084EEC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Administering Department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Type Dept. Code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 xml:space="preserve"> College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Type College Code</w:t>
            </w:r>
          </w:p>
        </w:tc>
      </w:tr>
      <w:tr w:rsidR="00084EEC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 w:rsidP="00B63A62">
            <w:pPr>
              <w:spacing w:before="80" w:after="80"/>
              <w:ind w:left="9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b/>
                <w:bCs/>
                <w:sz w:val="24"/>
                <w:szCs w:val="24"/>
                <w:shd w:val="clear" w:color="auto" w:fill="FFFFFF"/>
              </w:rPr>
              <w:t>Dr.</w:t>
            </w:r>
            <w:r w:rsidR="00CD7810">
              <w:rPr>
                <w:rFonts w:cstheme="majorHAnsi"/>
                <w:b/>
                <w:bCs/>
                <w:sz w:val="24"/>
                <w:szCs w:val="24"/>
                <w:shd w:val="clear" w:color="auto" w:fill="FFFFFF"/>
              </w:rPr>
              <w:t xml:space="preserve"> Hassan </w:t>
            </w:r>
            <w:proofErr w:type="spellStart"/>
            <w:r w:rsidR="00CD7810">
              <w:rPr>
                <w:rFonts w:cstheme="majorHAnsi"/>
                <w:b/>
                <w:bCs/>
                <w:sz w:val="24"/>
                <w:szCs w:val="24"/>
                <w:shd w:val="clear" w:color="auto" w:fill="FFFFFF"/>
              </w:rPr>
              <w:t>Waheed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CD7810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  <w:shd w:val="clear" w:color="auto" w:fill="FFFFFF"/>
              </w:rPr>
              <w:t>Hassan.a.jeiad</w:t>
            </w:r>
            <w:bookmarkStart w:id="1" w:name="_GoBack"/>
            <w:bookmarkEnd w:id="1"/>
            <w:r w:rsidR="002817EB">
              <w:rPr>
                <w:rFonts w:cstheme="majorHAnsi"/>
                <w:shd w:val="clear" w:color="auto" w:fill="FFFFFF"/>
              </w:rPr>
              <w:t>@uotechnology.edu.iq</w:t>
            </w:r>
          </w:p>
        </w:tc>
      </w:tr>
      <w:tr w:rsidR="00084EEC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Acad. Title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CD7810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Asst. Professor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Qualification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Ph.D.</w:t>
            </w:r>
          </w:p>
        </w:tc>
      </w:tr>
      <w:tr w:rsidR="00084EEC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before="80" w:after="80"/>
              <w:ind w:left="9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</w:tr>
      <w:tr w:rsidR="00084EEC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Peer Reviewer Name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 w:rsidP="00B63A62">
            <w:pPr>
              <w:pStyle w:val="ListParagraph"/>
              <w:numPr>
                <w:ilvl w:val="0"/>
                <w:numId w:val="3"/>
              </w:numPr>
              <w:spacing w:before="80" w:after="80"/>
              <w:ind w:left="246" w:hanging="24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sz w:val="24"/>
                <w:szCs w:val="24"/>
              </w:rPr>
              <w:t xml:space="preserve">Dr. </w:t>
            </w:r>
            <w:proofErr w:type="spellStart"/>
            <w:r w:rsidR="00B63A62">
              <w:rPr>
                <w:rFonts w:cstheme="majorHAnsi"/>
                <w:sz w:val="24"/>
                <w:szCs w:val="24"/>
              </w:rPr>
              <w:t>Zinah</w:t>
            </w:r>
            <w:proofErr w:type="spellEnd"/>
            <w:r w:rsidR="00B63A62">
              <w:rPr>
                <w:rFonts w:cstheme="majorHAnsi"/>
                <w:sz w:val="24"/>
                <w:szCs w:val="24"/>
              </w:rPr>
              <w:t xml:space="preserve"> </w:t>
            </w:r>
            <w:proofErr w:type="spellStart"/>
            <w:r w:rsidR="00B63A62">
              <w:rPr>
                <w:rFonts w:cstheme="majorHAnsi"/>
                <w:sz w:val="24"/>
                <w:szCs w:val="24"/>
              </w:rPr>
              <w:t>Jaffar</w:t>
            </w:r>
            <w:proofErr w:type="spellEnd"/>
            <w:r>
              <w:rPr>
                <w:rFonts w:cstheme="majorHAnsi"/>
                <w:sz w:val="24"/>
                <w:szCs w:val="24"/>
              </w:rPr>
              <w:t xml:space="preserve"> </w:t>
            </w:r>
          </w:p>
          <w:p w:rsidR="00084EEC" w:rsidRDefault="00084EEC" w:rsidP="00B63A62">
            <w:pPr>
              <w:pStyle w:val="ListParagraph"/>
              <w:numPr>
                <w:ilvl w:val="0"/>
                <w:numId w:val="3"/>
              </w:numPr>
              <w:spacing w:before="80" w:after="80"/>
              <w:ind w:left="246" w:hanging="246"/>
              <w:rPr>
                <w:rFonts w:asciiTheme="majorHAnsi" w:hAnsiTheme="majorHAnsi" w:cstheme="majorHAnsi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B63A62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Zinah.j.shalchi</w:t>
            </w:r>
            <w:r w:rsidR="002817EB">
              <w:rPr>
                <w:rFonts w:cstheme="majorHAnsi"/>
                <w:sz w:val="20"/>
                <w:szCs w:val="20"/>
              </w:rPr>
              <w:t>@uotechnology.edu.iq</w:t>
            </w:r>
          </w:p>
          <w:p w:rsidR="00084EEC" w:rsidRDefault="002817EB" w:rsidP="00B63A62">
            <w:pPr>
              <w:spacing w:before="80" w:after="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2.</w:t>
            </w:r>
            <w:r>
              <w:rPr>
                <w:rFonts w:cstheme="majorHAnsi"/>
              </w:rPr>
              <w:t xml:space="preserve">     </w:t>
            </w:r>
          </w:p>
        </w:tc>
      </w:tr>
      <w:tr w:rsidR="00084EEC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ind w:left="6" w:right="-99" w:hanging="6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Scientific Committee Approval Date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before="80" w:after="80"/>
              <w:ind w:left="3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 xml:space="preserve">   /         /2024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Version Number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1.0</w:t>
            </w:r>
          </w:p>
        </w:tc>
      </w:tr>
      <w:tr w:rsidR="00084EEC">
        <w:trPr>
          <w:trHeight w:val="62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084EEC" w:rsidRDefault="002817EB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084EEC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2817EB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084EEC">
            <w:pPr>
              <w:spacing w:line="360" w:lineRule="auto"/>
            </w:pPr>
          </w:p>
        </w:tc>
      </w:tr>
      <w:tr w:rsidR="00084EEC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2817EB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084EEC">
            <w:pPr>
              <w:spacing w:line="360" w:lineRule="auto"/>
            </w:pPr>
          </w:p>
        </w:tc>
      </w:tr>
    </w:tbl>
    <w:p w:rsidR="00084EEC" w:rsidRDefault="00084EEC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084EEC" w:rsidRDefault="00084EEC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3"/>
        <w:gridCol w:w="7892"/>
      </w:tblGrid>
      <w:tr w:rsidR="00084EEC">
        <w:trPr>
          <w:trHeight w:val="58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:rsidR="00084EEC" w:rsidRDefault="002817EB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084EEC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  <w:p w:rsidR="00084EEC" w:rsidRDefault="002817E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أهداف المادة الدراسية</w:t>
            </w:r>
          </w:p>
          <w:p w:rsidR="00084EEC" w:rsidRDefault="00084EE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765" w:rsidRPr="00970765" w:rsidRDefault="00970765" w:rsidP="00970765">
            <w:pPr>
              <w:spacing w:line="276" w:lineRule="auto"/>
              <w:ind w:left="408" w:hanging="318"/>
              <w:jc w:val="both"/>
              <w:rPr>
                <w:rFonts w:cstheme="majorHAnsi"/>
              </w:rPr>
            </w:pPr>
            <w:r w:rsidRPr="00970765">
              <w:rPr>
                <w:rFonts w:cstheme="majorHAnsi"/>
              </w:rPr>
              <w:t>1.</w:t>
            </w:r>
            <w:r>
              <w:rPr>
                <w:rFonts w:cstheme="majorHAnsi"/>
              </w:rPr>
              <w:t xml:space="preserve"> </w:t>
            </w:r>
            <w:r w:rsidRPr="00970765">
              <w:rPr>
                <w:rFonts w:cstheme="majorHAnsi"/>
              </w:rPr>
              <w:t xml:space="preserve">To introduce students with the architecture and operation of typical microprocessors. </w:t>
            </w:r>
          </w:p>
          <w:p w:rsidR="00970765" w:rsidRPr="00970765" w:rsidRDefault="00970765" w:rsidP="00970765">
            <w:pPr>
              <w:spacing w:line="276" w:lineRule="auto"/>
              <w:ind w:left="408" w:hanging="318"/>
              <w:jc w:val="both"/>
              <w:rPr>
                <w:rFonts w:cstheme="majorHAnsi"/>
              </w:rPr>
            </w:pPr>
            <w:r w:rsidRPr="00970765">
              <w:rPr>
                <w:rFonts w:cstheme="majorHAnsi"/>
              </w:rPr>
              <w:t>2.</w:t>
            </w:r>
            <w:r>
              <w:rPr>
                <w:rFonts w:cstheme="majorHAnsi"/>
              </w:rPr>
              <w:t xml:space="preserve"> </w:t>
            </w:r>
            <w:r w:rsidRPr="00970765">
              <w:rPr>
                <w:rFonts w:cstheme="majorHAnsi"/>
              </w:rPr>
              <w:t xml:space="preserve">To familiarize the students with the programming and interfacing of microprocessors. </w:t>
            </w:r>
          </w:p>
          <w:p w:rsidR="00084EEC" w:rsidRDefault="00970765" w:rsidP="00970765">
            <w:pPr>
              <w:spacing w:line="276" w:lineRule="auto"/>
              <w:ind w:left="408" w:hanging="318"/>
              <w:jc w:val="both"/>
            </w:pPr>
            <w:r w:rsidRPr="00970765">
              <w:rPr>
                <w:rFonts w:cstheme="majorHAnsi"/>
              </w:rPr>
              <w:t>3.</w:t>
            </w:r>
            <w:r>
              <w:rPr>
                <w:rFonts w:cstheme="majorHAnsi"/>
              </w:rPr>
              <w:t xml:space="preserve"> </w:t>
            </w:r>
            <w:r w:rsidRPr="00970765">
              <w:rPr>
                <w:rFonts w:cstheme="majorHAnsi"/>
              </w:rPr>
              <w:t>To provide strong foundation for designing real world applications using microprocessors.</w:t>
            </w:r>
          </w:p>
        </w:tc>
      </w:tr>
      <w:tr w:rsidR="00084EEC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  <w:p w:rsidR="00084EEC" w:rsidRDefault="00084EEC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084EEC" w:rsidRDefault="002817E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17" w:rsidRDefault="00125A17" w:rsidP="00125A17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Understand the fundamentals of Microprocessors.</w:t>
            </w:r>
          </w:p>
          <w:p w:rsidR="00125A17" w:rsidRDefault="00125A17" w:rsidP="00125A17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Apply knowledge and demonstrate programming proficiency using the various addressing modes and data transfer instructions of the target microprocessor. </w:t>
            </w:r>
          </w:p>
          <w:p w:rsidR="00125A17" w:rsidRDefault="00125A17" w:rsidP="00125A17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Analyze assembly language programs.</w:t>
            </w:r>
          </w:p>
          <w:p w:rsidR="00125A17" w:rsidRDefault="00125A17" w:rsidP="00125A17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Design electrical circuitry to the Microprocessor I/O ports in order to interface the processor to external devices. </w:t>
            </w:r>
          </w:p>
          <w:p w:rsidR="00084EEC" w:rsidRDefault="00125A17" w:rsidP="00125A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>
              <w:t>Evaluate assembly language programs and download the machine code that will provide solutions real‐world control problems.</w:t>
            </w:r>
          </w:p>
        </w:tc>
      </w:tr>
      <w:tr w:rsidR="00084EEC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084EEC" w:rsidRDefault="002817EB">
            <w:pPr>
              <w:bidi/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 w:rsidP="00725AAA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Introduction to </w:t>
            </w:r>
            <w:r w:rsidR="00725AAA">
              <w:rPr>
                <w:b/>
                <w:bCs/>
                <w:sz w:val="24"/>
                <w:szCs w:val="24"/>
                <w:u w:val="single"/>
              </w:rPr>
              <w:t>8086 Microprocessor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>
              <w:t>8086 pin configuration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>
              <w:t>Operating modes: minimum and maximum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>
              <w:t>8086 software architecture</w:t>
            </w:r>
          </w:p>
          <w:p w:rsidR="00084EEC" w:rsidRDefault="00725AAA" w:rsidP="00725AAA">
            <w:pPr>
              <w:pStyle w:val="ListParagraph"/>
              <w:numPr>
                <w:ilvl w:val="0"/>
                <w:numId w:val="6"/>
              </w:numPr>
              <w:spacing w:line="312" w:lineRule="auto"/>
              <w:rPr>
                <w:b/>
                <w:bCs/>
              </w:rPr>
            </w:pPr>
            <w:r>
              <w:t>8086 Register Organization</w:t>
            </w:r>
            <w:r>
              <w:rPr>
                <w:b/>
                <w:bCs/>
                <w:highlight w:val="white"/>
              </w:rPr>
              <w:t xml:space="preserve">                                                                   </w:t>
            </w:r>
            <w:r w:rsidR="00661B6C">
              <w:rPr>
                <w:b/>
                <w:bCs/>
                <w:highlight w:val="white"/>
              </w:rPr>
              <w:t xml:space="preserve">  </w:t>
            </w:r>
            <w:r w:rsidR="002817EB">
              <w:rPr>
                <w:b/>
                <w:bCs/>
                <w:highlight w:val="white"/>
              </w:rPr>
              <w:t xml:space="preserve">[6 </w:t>
            </w:r>
            <w:proofErr w:type="spellStart"/>
            <w:r w:rsidR="002817EB">
              <w:rPr>
                <w:b/>
                <w:bCs/>
                <w:highlight w:val="white"/>
              </w:rPr>
              <w:t>hrs</w:t>
            </w:r>
            <w:proofErr w:type="spellEnd"/>
            <w:r w:rsidR="002817EB">
              <w:rPr>
                <w:b/>
                <w:bCs/>
                <w:highlight w:val="white"/>
              </w:rPr>
              <w:t>]</w:t>
            </w:r>
          </w:p>
          <w:p w:rsidR="00084EEC" w:rsidRDefault="00084EEC">
            <w:pPr>
              <w:pStyle w:val="ListParagraph"/>
              <w:spacing w:line="312" w:lineRule="auto"/>
              <w:rPr>
                <w:b/>
                <w:bCs/>
              </w:rPr>
            </w:pPr>
          </w:p>
          <w:p w:rsidR="00725AAA" w:rsidRPr="00725AAA" w:rsidRDefault="00725AAA" w:rsidP="00725AAA">
            <w:pPr>
              <w:spacing w:line="312" w:lineRule="auto"/>
            </w:pPr>
            <w:r w:rsidRPr="00725AAA">
              <w:rPr>
                <w:b/>
                <w:bCs/>
                <w:sz w:val="24"/>
                <w:szCs w:val="24"/>
                <w:u w:val="single"/>
              </w:rPr>
              <w:t>Memory Devices, Circuits, and Subsystem Design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Read-Only Memory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Random Access Read/Write Memories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Parity,  Parity-Checker/Generator Circuit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FLASH Memory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Wait-State Circuitry</w:t>
            </w:r>
          </w:p>
          <w:p w:rsidR="00084EEC" w:rsidRDefault="00725AAA" w:rsidP="00725AAA">
            <w:pPr>
              <w:pStyle w:val="ListParagraph"/>
              <w:numPr>
                <w:ilvl w:val="0"/>
                <w:numId w:val="7"/>
              </w:numPr>
              <w:spacing w:line="312" w:lineRule="auto"/>
              <w:rPr>
                <w:b/>
                <w:bCs/>
              </w:rPr>
            </w:pPr>
            <w:r>
              <w:t>8088/8086 Microcomputer System Memory Circuitry</w:t>
            </w:r>
            <w:r>
              <w:rPr>
                <w:b/>
                <w:bCs/>
                <w:highlight w:val="white"/>
              </w:rPr>
              <w:t xml:space="preserve">                        </w:t>
            </w:r>
            <w:r w:rsidR="002817EB">
              <w:rPr>
                <w:b/>
                <w:bCs/>
                <w:highlight w:val="white"/>
              </w:rPr>
              <w:t>[</w:t>
            </w:r>
            <w:r>
              <w:rPr>
                <w:b/>
                <w:bCs/>
                <w:highlight w:val="white"/>
              </w:rPr>
              <w:t>8</w:t>
            </w:r>
            <w:r w:rsidR="002817EB">
              <w:rPr>
                <w:b/>
                <w:bCs/>
                <w:highlight w:val="white"/>
              </w:rPr>
              <w:t xml:space="preserve"> </w:t>
            </w:r>
            <w:proofErr w:type="spellStart"/>
            <w:r w:rsidR="002817EB">
              <w:rPr>
                <w:b/>
                <w:bCs/>
                <w:highlight w:val="white"/>
              </w:rPr>
              <w:t>hrs</w:t>
            </w:r>
            <w:proofErr w:type="spellEnd"/>
            <w:r w:rsidR="002817EB">
              <w:rPr>
                <w:b/>
                <w:bCs/>
                <w:highlight w:val="white"/>
              </w:rPr>
              <w:t>]</w:t>
            </w:r>
          </w:p>
          <w:p w:rsidR="00084EEC" w:rsidRDefault="00084EEC">
            <w:pPr>
              <w:spacing w:line="312" w:lineRule="auto"/>
            </w:pPr>
          </w:p>
          <w:p w:rsidR="00725AAA" w:rsidRDefault="00A866C6" w:rsidP="00725AAA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725AAA">
              <w:rPr>
                <w:b/>
                <w:bCs/>
                <w:sz w:val="24"/>
                <w:szCs w:val="24"/>
                <w:u w:val="single"/>
              </w:rPr>
              <w:t>Input/output</w:t>
            </w:r>
            <w:r w:rsidR="00725AAA" w:rsidRPr="00725AAA">
              <w:rPr>
                <w:b/>
                <w:bCs/>
                <w:sz w:val="24"/>
                <w:szCs w:val="24"/>
                <w:u w:val="single"/>
              </w:rPr>
              <w:t xml:space="preserve"> Interface Circuits and LSI Peripheral Devices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15"/>
              </w:numPr>
              <w:spacing w:line="312" w:lineRule="auto"/>
            </w:pPr>
            <w:r>
              <w:t xml:space="preserve">Core and Special-Purpose I/O Interfaces 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15"/>
              </w:numPr>
              <w:spacing w:line="312" w:lineRule="auto"/>
            </w:pPr>
            <w:r>
              <w:t>82C55A Programmable Peripheral Interface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15"/>
              </w:numPr>
              <w:spacing w:line="312" w:lineRule="auto"/>
            </w:pPr>
            <w:r>
              <w:t>82C54 Programmable Interval Timer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15"/>
              </w:numPr>
              <w:spacing w:line="312" w:lineRule="auto"/>
            </w:pPr>
            <w:r>
              <w:t>82C37A Programmable Direct Memory Access Controller</w:t>
            </w:r>
          </w:p>
          <w:p w:rsidR="00725AAA" w:rsidRDefault="00725AAA" w:rsidP="00725AAA">
            <w:pPr>
              <w:pStyle w:val="ListParagraph"/>
              <w:numPr>
                <w:ilvl w:val="0"/>
                <w:numId w:val="15"/>
              </w:numPr>
              <w:spacing w:line="312" w:lineRule="auto"/>
            </w:pPr>
            <w:r>
              <w:lastRenderedPageBreak/>
              <w:t>Programmable Communication Interface Controllers</w:t>
            </w:r>
          </w:p>
          <w:p w:rsidR="00084EEC" w:rsidRDefault="00725AAA" w:rsidP="00725AAA">
            <w:pPr>
              <w:pStyle w:val="ListParagraph"/>
              <w:numPr>
                <w:ilvl w:val="0"/>
                <w:numId w:val="8"/>
              </w:numPr>
              <w:spacing w:line="312" w:lineRule="auto"/>
              <w:rPr>
                <w:b/>
                <w:bCs/>
              </w:rPr>
            </w:pPr>
            <w:r>
              <w:t>Keyboard and Display Interface</w:t>
            </w:r>
            <w:r w:rsidR="002817EB">
              <w:t xml:space="preserve">                                   </w:t>
            </w:r>
            <w:r>
              <w:t xml:space="preserve">                             </w:t>
            </w:r>
            <w:r w:rsidR="002817EB">
              <w:rPr>
                <w:b/>
                <w:bCs/>
                <w:highlight w:val="white"/>
              </w:rPr>
              <w:t>[1</w:t>
            </w:r>
            <w:r>
              <w:rPr>
                <w:b/>
                <w:bCs/>
                <w:highlight w:val="white"/>
              </w:rPr>
              <w:t>0</w:t>
            </w:r>
            <w:r w:rsidR="002817EB">
              <w:rPr>
                <w:b/>
                <w:bCs/>
                <w:highlight w:val="white"/>
              </w:rPr>
              <w:t xml:space="preserve"> </w:t>
            </w:r>
            <w:proofErr w:type="spellStart"/>
            <w:r w:rsidR="002817EB">
              <w:rPr>
                <w:b/>
                <w:bCs/>
                <w:highlight w:val="white"/>
              </w:rPr>
              <w:t>hrs</w:t>
            </w:r>
            <w:proofErr w:type="spellEnd"/>
            <w:r w:rsidR="002817EB">
              <w:rPr>
                <w:b/>
                <w:bCs/>
                <w:highlight w:val="white"/>
              </w:rPr>
              <w:t>]</w:t>
            </w:r>
          </w:p>
          <w:p w:rsidR="00084EEC" w:rsidRDefault="002817EB">
            <w:pPr>
              <w:spacing w:line="312" w:lineRule="auto"/>
            </w:pPr>
            <w:r>
              <w:t xml:space="preserve">             </w:t>
            </w:r>
          </w:p>
          <w:p w:rsidR="00661B6C" w:rsidRDefault="00661B6C" w:rsidP="00661B6C">
            <w:pPr>
              <w:spacing w:line="312" w:lineRule="auto"/>
              <w:rPr>
                <w:b/>
                <w:bCs/>
                <w:u w:val="single"/>
              </w:rPr>
            </w:pPr>
            <w:r w:rsidRPr="00661B6C">
              <w:rPr>
                <w:b/>
                <w:bCs/>
                <w:u w:val="single"/>
              </w:rPr>
              <w:t>Interrupt Interface of the 8086 Microprocessors</w:t>
            </w:r>
          </w:p>
          <w:p w:rsidR="00661B6C" w:rsidRDefault="00661B6C" w:rsidP="00661B6C">
            <w:pPr>
              <w:pStyle w:val="ListParagraph"/>
              <w:numPr>
                <w:ilvl w:val="0"/>
                <w:numId w:val="9"/>
              </w:numPr>
              <w:spacing w:line="312" w:lineRule="auto"/>
            </w:pPr>
            <w:r>
              <w:t>Interrupt Mechanism, Types, and Priority</w:t>
            </w:r>
          </w:p>
          <w:p w:rsidR="00661B6C" w:rsidRDefault="00661B6C" w:rsidP="00661B6C">
            <w:pPr>
              <w:pStyle w:val="ListParagraph"/>
              <w:numPr>
                <w:ilvl w:val="0"/>
                <w:numId w:val="9"/>
              </w:numPr>
              <w:spacing w:line="312" w:lineRule="auto"/>
            </w:pPr>
            <w:r>
              <w:t>External Hardware-Interrupt Interface Signals</w:t>
            </w:r>
          </w:p>
          <w:p w:rsidR="00661B6C" w:rsidRDefault="00661B6C" w:rsidP="00661B6C">
            <w:pPr>
              <w:pStyle w:val="ListParagraph"/>
              <w:numPr>
                <w:ilvl w:val="0"/>
                <w:numId w:val="9"/>
              </w:numPr>
              <w:spacing w:line="312" w:lineRule="auto"/>
            </w:pPr>
            <w:r>
              <w:t>82C59A Programmable Interrupt Controller</w:t>
            </w:r>
          </w:p>
          <w:p w:rsidR="00661B6C" w:rsidRDefault="00661B6C" w:rsidP="00661B6C">
            <w:pPr>
              <w:pStyle w:val="ListParagraph"/>
              <w:numPr>
                <w:ilvl w:val="0"/>
                <w:numId w:val="9"/>
              </w:numPr>
              <w:spacing w:line="312" w:lineRule="auto"/>
            </w:pPr>
            <w:r>
              <w:t>Software Interrupts</w:t>
            </w:r>
          </w:p>
          <w:p w:rsidR="00084EEC" w:rsidRDefault="00661B6C" w:rsidP="00661B6C">
            <w:pPr>
              <w:pStyle w:val="ListParagraph"/>
              <w:numPr>
                <w:ilvl w:val="0"/>
                <w:numId w:val="9"/>
              </w:numPr>
              <w:spacing w:line="312" w:lineRule="auto"/>
              <w:rPr>
                <w:b/>
                <w:bCs/>
              </w:rPr>
            </w:pPr>
            <w:proofErr w:type="spellStart"/>
            <w:r>
              <w:t>Nonmaskable</w:t>
            </w:r>
            <w:proofErr w:type="spellEnd"/>
            <w:r>
              <w:t xml:space="preserve"> Interrupt</w:t>
            </w:r>
            <w:r>
              <w:rPr>
                <w:b/>
                <w:bCs/>
                <w:highlight w:val="white"/>
              </w:rPr>
              <w:t xml:space="preserve">                                                                                </w:t>
            </w:r>
            <w:r w:rsidR="002817EB">
              <w:rPr>
                <w:b/>
                <w:bCs/>
                <w:highlight w:val="white"/>
              </w:rPr>
              <w:t>[</w:t>
            </w:r>
            <w:r>
              <w:rPr>
                <w:b/>
                <w:bCs/>
                <w:highlight w:val="white"/>
              </w:rPr>
              <w:t>6</w:t>
            </w:r>
            <w:r w:rsidR="002817EB">
              <w:rPr>
                <w:b/>
                <w:bCs/>
                <w:highlight w:val="white"/>
              </w:rPr>
              <w:t xml:space="preserve"> </w:t>
            </w:r>
            <w:proofErr w:type="spellStart"/>
            <w:r w:rsidR="002817EB">
              <w:rPr>
                <w:b/>
                <w:bCs/>
                <w:highlight w:val="white"/>
              </w:rPr>
              <w:t>hrs</w:t>
            </w:r>
            <w:proofErr w:type="spellEnd"/>
            <w:r w:rsidR="002817EB">
              <w:rPr>
                <w:b/>
                <w:bCs/>
                <w:highlight w:val="white"/>
              </w:rPr>
              <w:t>]</w:t>
            </w:r>
          </w:p>
          <w:p w:rsidR="00084EEC" w:rsidRDefault="00084EEC" w:rsidP="00661B6C">
            <w:pPr>
              <w:pStyle w:val="ListParagraph"/>
              <w:spacing w:line="312" w:lineRule="auto"/>
            </w:pPr>
          </w:p>
        </w:tc>
      </w:tr>
    </w:tbl>
    <w:p w:rsidR="00084EEC" w:rsidRDefault="00084EEC">
      <w:pPr>
        <w:spacing w:after="384" w:line="312" w:lineRule="auto"/>
        <w:rPr>
          <w:b/>
          <w:color w:val="000000"/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3"/>
        <w:gridCol w:w="7892"/>
      </w:tblGrid>
      <w:tr w:rsidR="00084EEC">
        <w:trPr>
          <w:trHeight w:val="46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084EEC" w:rsidRDefault="002817EB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084EEC">
        <w:trPr>
          <w:trHeight w:val="22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084EEC">
            <w:pPr>
              <w:spacing w:line="276" w:lineRule="auto"/>
            </w:pPr>
          </w:p>
          <w:p w:rsidR="00084EEC" w:rsidRPr="002817EB" w:rsidRDefault="002817EB" w:rsidP="002817E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Lectures</w:t>
            </w:r>
            <w:r>
              <w:rPr>
                <w:sz w:val="24"/>
                <w:szCs w:val="24"/>
              </w:rPr>
              <w:t xml:space="preserve">: Instructors will deliver in-class lectures to introduce and explain key </w:t>
            </w:r>
            <w:r w:rsidR="00661B6C">
              <w:rPr>
                <w:sz w:val="24"/>
                <w:szCs w:val="24"/>
              </w:rPr>
              <w:t>microprocessor concepts, architectures, and interfaces</w:t>
            </w:r>
            <w:r>
              <w:rPr>
                <w:sz w:val="24"/>
                <w:szCs w:val="24"/>
              </w:rPr>
              <w:t>. These presentations will cover theoretical foundations and practical applications.</w:t>
            </w:r>
          </w:p>
          <w:p w:rsidR="00084EEC" w:rsidRDefault="002817EB" w:rsidP="00661B6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Interactive</w:t>
            </w:r>
            <w:r>
              <w:rPr>
                <w:sz w:val="24"/>
                <w:szCs w:val="24"/>
              </w:rPr>
              <w:t xml:space="preserve"> Discussions: Students will be encouraged to participate in discussions that foster critical thinking and problem-solving skills. These discussions will revolve around case studies.</w:t>
            </w:r>
          </w:p>
          <w:p w:rsidR="00084EEC" w:rsidRPr="00DF72F7" w:rsidRDefault="002817EB" w:rsidP="00DF72F7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Hands-on Laboratory</w:t>
            </w:r>
            <w:r>
              <w:rPr>
                <w:sz w:val="24"/>
                <w:szCs w:val="24"/>
              </w:rPr>
              <w:t xml:space="preserve"> Work: Practical lab sessions will allow students to apply theoretical knowledge by working with hardware and simulation software. This includes </w:t>
            </w:r>
            <w:r w:rsidR="00612AA4">
              <w:rPr>
                <w:sz w:val="24"/>
                <w:szCs w:val="24"/>
              </w:rPr>
              <w:t>analyze,</w:t>
            </w:r>
            <w:r w:rsidR="00612AA4">
              <w:rPr>
                <w:sz w:val="24"/>
                <w:szCs w:val="24"/>
              </w:rPr>
              <w:tab/>
              <w:t xml:space="preserve"> design and simulate</w:t>
            </w:r>
            <w:r w:rsidR="00612AA4">
              <w:rPr>
                <w:sz w:val="24"/>
                <w:szCs w:val="24"/>
              </w:rPr>
              <w:tab/>
              <w:t xml:space="preserve"> various programming based</w:t>
            </w:r>
            <w:r w:rsidR="00612AA4">
              <w:rPr>
                <w:sz w:val="24"/>
                <w:szCs w:val="24"/>
              </w:rPr>
              <w:tab/>
              <w:t xml:space="preserve"> on microprocessor and its </w:t>
            </w:r>
            <w:r w:rsidR="00612AA4" w:rsidRPr="00612AA4">
              <w:rPr>
                <w:sz w:val="24"/>
                <w:szCs w:val="24"/>
              </w:rPr>
              <w:t>peripheral.</w:t>
            </w:r>
          </w:p>
          <w:p w:rsidR="00084EEC" w:rsidRPr="00DF72F7" w:rsidRDefault="002817EB" w:rsidP="00DF72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 Projects</w:t>
            </w:r>
            <w:r>
              <w:rPr>
                <w:sz w:val="24"/>
                <w:szCs w:val="24"/>
              </w:rPr>
              <w:t xml:space="preserve">: Students will collaborate on projects that involve designing and implementing network solutions for simulated environments. This promotes teamwork and the practical application of learned concepts, including </w:t>
            </w:r>
            <w:r w:rsidR="00DF72F7">
              <w:rPr>
                <w:sz w:val="24"/>
                <w:szCs w:val="24"/>
              </w:rPr>
              <w:t xml:space="preserve">explain and perform experiments based on interfacing microprocessor with memory and various I/O (Input/Output) </w:t>
            </w:r>
            <w:r w:rsidR="00DF72F7" w:rsidRPr="00DF72F7">
              <w:rPr>
                <w:sz w:val="24"/>
                <w:szCs w:val="24"/>
              </w:rPr>
              <w:t>devices.</w:t>
            </w:r>
          </w:p>
          <w:p w:rsidR="00084EEC" w:rsidRDefault="002817EB" w:rsidP="00DF72F7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Simulations and Virtual Labs</w:t>
            </w:r>
            <w:r>
              <w:rPr>
                <w:sz w:val="24"/>
                <w:szCs w:val="24"/>
              </w:rPr>
              <w:t>: Utilizing advanced simulation tools and virtual lab environments to provide students with hands-on experience, especially when physical resources or access to actual equipment is limited.</w:t>
            </w:r>
          </w:p>
          <w:p w:rsidR="00084EEC" w:rsidRDefault="00084EE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4EEC" w:rsidRPr="0003649B" w:rsidRDefault="002817EB" w:rsidP="000364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Visuals and Multimedia</w:t>
            </w:r>
            <w:r>
              <w:rPr>
                <w:sz w:val="24"/>
                <w:szCs w:val="24"/>
              </w:rPr>
              <w:t>: Integration of visual a</w:t>
            </w:r>
            <w:r w:rsidR="00976028">
              <w:rPr>
                <w:sz w:val="24"/>
                <w:szCs w:val="24"/>
              </w:rPr>
              <w:t>ids such as diagrams</w:t>
            </w:r>
            <w:r>
              <w:rPr>
                <w:sz w:val="24"/>
                <w:szCs w:val="24"/>
              </w:rPr>
              <w:t>, and multimedia content to enhance understanding.</w:t>
            </w:r>
          </w:p>
          <w:p w:rsidR="00084EEC" w:rsidRPr="0003649B" w:rsidRDefault="002817EB" w:rsidP="000364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 and Feedback</w:t>
            </w:r>
            <w:r>
              <w:rPr>
                <w:sz w:val="24"/>
                <w:szCs w:val="24"/>
              </w:rPr>
              <w:t>: Regular assessments through quizzes, tests, and exams to gauge students' understanding and mastery of course content. Feedback will be provided systematically to guide students' learning processes and adjustments.</w:t>
            </w:r>
          </w:p>
          <w:p w:rsidR="00084EEC" w:rsidRDefault="002817E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Practice and Revision Sessions</w:t>
            </w:r>
            <w:r>
              <w:rPr>
                <w:sz w:val="24"/>
                <w:szCs w:val="24"/>
              </w:rPr>
              <w:t>: Dedicated sessions for practice and revision will be available to reinforce learning, address students’ questions, and prepare them adequately for assessments.</w:t>
            </w:r>
          </w:p>
          <w:p w:rsidR="00084EEC" w:rsidRDefault="00084EEC">
            <w:pPr>
              <w:spacing w:line="276" w:lineRule="auto"/>
              <w:jc w:val="both"/>
            </w:pPr>
          </w:p>
        </w:tc>
      </w:tr>
    </w:tbl>
    <w:p w:rsidR="00084EEC" w:rsidRDefault="00084EEC">
      <w:pPr>
        <w:spacing w:line="276" w:lineRule="auto"/>
        <w:rPr>
          <w:b/>
          <w:color w:val="000000"/>
          <w:sz w:val="36"/>
          <w:szCs w:val="36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78"/>
        <w:gridCol w:w="1777"/>
        <w:gridCol w:w="804"/>
        <w:gridCol w:w="809"/>
        <w:gridCol w:w="461"/>
        <w:gridCol w:w="1436"/>
        <w:gridCol w:w="1316"/>
        <w:gridCol w:w="1205"/>
        <w:gridCol w:w="1124"/>
        <w:gridCol w:w="45"/>
      </w:tblGrid>
      <w:tr w:rsidR="00084EEC">
        <w:trPr>
          <w:gridAfter w:val="1"/>
          <w:wAfter w:w="45" w:type="dxa"/>
          <w:trHeight w:val="620"/>
        </w:trPr>
        <w:tc>
          <w:tcPr>
            <w:tcW w:w="10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</w:rPr>
              <w:t>Student Workload (SWL)</w:t>
            </w:r>
          </w:p>
          <w:p w:rsidR="00084EEC" w:rsidRDefault="002817EB">
            <w:pPr>
              <w:bidi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 xml:space="preserve">الحمل الدراسي للطالب محسوب لـ </w:t>
            </w:r>
            <w:r>
              <w:rPr>
                <w:b/>
                <w:bCs/>
                <w:color w:val="17365D"/>
                <w:sz w:val="28"/>
                <w:szCs w:val="28"/>
                <w:rtl/>
              </w:rPr>
              <w:t>١٥</w:t>
            </w:r>
            <w:r>
              <w:rPr>
                <w:b/>
                <w:color w:val="17365D"/>
                <w:sz w:val="28"/>
                <w:szCs w:val="28"/>
                <w:rtl/>
              </w:rPr>
              <w:t xml:space="preserve"> اسبوعا</w:t>
            </w:r>
          </w:p>
        </w:tc>
      </w:tr>
      <w:tr w:rsidR="00084EEC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Structured SWL (h/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084EEC" w:rsidRDefault="002817EB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>Structured SWL (h/w)</w:t>
            </w:r>
          </w:p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  <w:rtl/>
              </w:rPr>
              <w:t>الحمل الدراسي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A866C6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84EEC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Unstructured SWL (h/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084EEC" w:rsidRDefault="002817EB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>Unstructured SWL (h/w)</w:t>
            </w:r>
          </w:p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  <w:rtl/>
              </w:rPr>
              <w:t>الحمل الدراسي غير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84EEC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SWL (h/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084EEC" w:rsidRDefault="002817EB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</w:tr>
      <w:tr w:rsidR="00084EEC">
        <w:trPr>
          <w:trHeight w:val="838"/>
        </w:trPr>
        <w:tc>
          <w:tcPr>
            <w:tcW w:w="104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084EEC" w:rsidRDefault="002817EB">
            <w:pPr>
              <w:bidi/>
              <w:spacing w:line="312" w:lineRule="auto"/>
              <w:jc w:val="center"/>
              <w:rPr>
                <w:b/>
                <w:color w:val="17365D"/>
                <w:sz w:val="32"/>
                <w:szCs w:val="32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084EEC">
        <w:trPr>
          <w:trHeight w:val="20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084EEC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084EEC" w:rsidRDefault="002817EB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084EEC">
        <w:trPr>
          <w:trHeight w:val="22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5 and 10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 w:rsidP="00A866C6">
            <w:pPr>
              <w:spacing w:line="312" w:lineRule="auto"/>
            </w:pPr>
            <w:r>
              <w:t xml:space="preserve">LO #1- #5 </w:t>
            </w:r>
          </w:p>
        </w:tc>
      </w:tr>
      <w:tr w:rsidR="00084EEC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3 and 12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 w:rsidP="00A866C6">
            <w:pPr>
              <w:spacing w:line="312" w:lineRule="auto"/>
            </w:pPr>
            <w:r>
              <w:t>LO #2 and #5</w:t>
            </w:r>
          </w:p>
        </w:tc>
      </w:tr>
      <w:tr w:rsidR="00084EEC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Continuous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</w:pPr>
            <w:r>
              <w:t xml:space="preserve">All </w:t>
            </w:r>
          </w:p>
        </w:tc>
      </w:tr>
      <w:tr w:rsidR="00084EEC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13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 w:rsidP="00A866C6">
            <w:pPr>
              <w:spacing w:line="312" w:lineRule="auto"/>
            </w:pPr>
            <w:r>
              <w:t>LO #</w:t>
            </w:r>
            <w:r w:rsidR="00A866C6">
              <w:t>4</w:t>
            </w:r>
          </w:p>
        </w:tc>
      </w:tr>
      <w:tr w:rsidR="00084EEC">
        <w:trPr>
          <w:trHeight w:val="22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Summative </w:t>
            </w:r>
            <w:r>
              <w:rPr>
                <w:b/>
              </w:rPr>
              <w:lastRenderedPageBreak/>
              <w:t>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lastRenderedPageBreak/>
              <w:t>Midterm Exam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2hr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8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 w:rsidP="00A866C6">
            <w:pPr>
              <w:spacing w:line="312" w:lineRule="auto"/>
            </w:pPr>
            <w:r>
              <w:t>LO #1 - #</w:t>
            </w:r>
            <w:r w:rsidR="00A866C6">
              <w:t>5</w:t>
            </w:r>
          </w:p>
        </w:tc>
      </w:tr>
      <w:tr w:rsidR="00084EEC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3hr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50% (50)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16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</w:pPr>
            <w:r>
              <w:t>All</w:t>
            </w:r>
          </w:p>
        </w:tc>
      </w:tr>
      <w:tr w:rsidR="00084EEC">
        <w:trPr>
          <w:trHeight w:val="220"/>
        </w:trPr>
        <w:tc>
          <w:tcPr>
            <w:tcW w:w="4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rPr>
                <w:b/>
              </w:rPr>
            </w:pPr>
            <w:r>
              <w:rPr>
                <w:b/>
              </w:rPr>
              <w:lastRenderedPageBreak/>
              <w:t>Total assessment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084EEC">
            <w:pPr>
              <w:spacing w:line="312" w:lineRule="auto"/>
              <w:jc w:val="center"/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084EEC">
            <w:pPr>
              <w:spacing w:line="312" w:lineRule="auto"/>
            </w:pPr>
          </w:p>
        </w:tc>
      </w:tr>
    </w:tbl>
    <w:p w:rsidR="00084EEC" w:rsidRDefault="00084EEC">
      <w:pPr>
        <w:spacing w:after="0" w:line="312" w:lineRule="auto"/>
        <w:rPr>
          <w:b/>
          <w:color w:val="000000"/>
          <w:sz w:val="16"/>
          <w:szCs w:val="16"/>
        </w:rPr>
      </w:pPr>
    </w:p>
    <w:p w:rsidR="00084EEC" w:rsidRDefault="00084EEC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W w:w="1050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084EEC">
        <w:trPr>
          <w:trHeight w:val="778"/>
        </w:trPr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084EEC" w:rsidRDefault="002817EB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E167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6780">
              <w:rPr>
                <w:rFonts w:eastAsia="CMR10" w:cstheme="majorHAnsi"/>
                <w:sz w:val="24"/>
                <w:szCs w:val="24"/>
              </w:rPr>
              <w:t>8086 pin configuration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E1678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6780">
              <w:rPr>
                <w:rFonts w:cstheme="majorHAnsi"/>
                <w:sz w:val="24"/>
                <w:szCs w:val="24"/>
              </w:rPr>
              <w:t>Operating modes: minimum and maximum</w:t>
            </w:r>
          </w:p>
        </w:tc>
      </w:tr>
      <w:tr w:rsidR="00084EEC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80" w:rsidRPr="00E16780" w:rsidRDefault="00E16780" w:rsidP="00E16780">
            <w:pPr>
              <w:spacing w:line="240" w:lineRule="auto"/>
              <w:rPr>
                <w:rFonts w:cstheme="majorHAnsi"/>
                <w:sz w:val="24"/>
                <w:szCs w:val="24"/>
              </w:rPr>
            </w:pPr>
            <w:r w:rsidRPr="00E16780">
              <w:rPr>
                <w:rFonts w:cstheme="majorHAnsi"/>
                <w:sz w:val="24"/>
                <w:szCs w:val="24"/>
              </w:rPr>
              <w:t>8086 software architecture</w:t>
            </w:r>
          </w:p>
          <w:p w:rsidR="00084EEC" w:rsidRDefault="00E16780" w:rsidP="00E1678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6780">
              <w:rPr>
                <w:rFonts w:cstheme="majorHAnsi"/>
                <w:sz w:val="24"/>
                <w:szCs w:val="24"/>
              </w:rPr>
              <w:t>8086 Register Organization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404FD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4FD0">
              <w:rPr>
                <w:rFonts w:cstheme="majorHAnsi"/>
                <w:sz w:val="24"/>
                <w:szCs w:val="24"/>
              </w:rPr>
              <w:t>Read-Only Memory</w:t>
            </w:r>
            <w:r>
              <w:rPr>
                <w:rFonts w:cstheme="majorHAnsi"/>
                <w:sz w:val="24"/>
                <w:szCs w:val="24"/>
              </w:rPr>
              <w:t xml:space="preserve">, </w:t>
            </w:r>
            <w:r w:rsidRPr="00404FD0">
              <w:rPr>
                <w:rFonts w:cstheme="majorHAnsi"/>
                <w:sz w:val="24"/>
                <w:szCs w:val="24"/>
              </w:rPr>
              <w:t>Random Access Read/Write Memories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404F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4FD0">
              <w:rPr>
                <w:rFonts w:eastAsia="CMR10" w:cstheme="majorHAnsi"/>
                <w:sz w:val="24"/>
                <w:szCs w:val="24"/>
              </w:rPr>
              <w:t>Parity,  Parity-Checker/Generator Circuit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D0" w:rsidRPr="00404FD0" w:rsidRDefault="00404FD0" w:rsidP="00404FD0">
            <w:pPr>
              <w:rPr>
                <w:rFonts w:cstheme="majorHAnsi"/>
                <w:sz w:val="24"/>
                <w:szCs w:val="24"/>
              </w:rPr>
            </w:pPr>
            <w:r w:rsidRPr="00404FD0">
              <w:rPr>
                <w:rFonts w:cstheme="majorHAnsi"/>
                <w:sz w:val="24"/>
                <w:szCs w:val="24"/>
              </w:rPr>
              <w:t>FLASH Memory</w:t>
            </w:r>
          </w:p>
          <w:p w:rsidR="00084EEC" w:rsidRDefault="00404FD0" w:rsidP="00404F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4FD0">
              <w:rPr>
                <w:rFonts w:cstheme="majorHAnsi"/>
                <w:sz w:val="24"/>
                <w:szCs w:val="24"/>
              </w:rPr>
              <w:t>Wait-State Circuitry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404FD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4FD0">
              <w:rPr>
                <w:rFonts w:cstheme="majorHAnsi"/>
                <w:sz w:val="24"/>
                <w:szCs w:val="24"/>
              </w:rPr>
              <w:t>8088/8086 Microcomputer System Memory Circuitry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Pr="00404FD0" w:rsidRDefault="002817EB" w:rsidP="00404FD0">
            <w:pPr>
              <w:spacing w:line="360" w:lineRule="auto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</w:rPr>
              <w:t xml:space="preserve">Mid-term Exam + </w:t>
            </w:r>
            <w:r w:rsidR="00404FD0" w:rsidRPr="00404FD0">
              <w:rPr>
                <w:rFonts w:cstheme="majorHAnsi"/>
                <w:sz w:val="24"/>
                <w:szCs w:val="24"/>
              </w:rPr>
              <w:t xml:space="preserve">Core and Special-Purpose I/O Interfaces 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F5" w:rsidRPr="00510AF5" w:rsidRDefault="00510AF5" w:rsidP="00510AF5">
            <w:pPr>
              <w:rPr>
                <w:rFonts w:eastAsia="CMR10" w:cstheme="majorHAnsi"/>
                <w:sz w:val="24"/>
                <w:szCs w:val="24"/>
              </w:rPr>
            </w:pPr>
            <w:r w:rsidRPr="00510AF5">
              <w:rPr>
                <w:rFonts w:eastAsia="CMR10" w:cstheme="majorHAnsi"/>
                <w:sz w:val="24"/>
                <w:szCs w:val="24"/>
              </w:rPr>
              <w:t>82C55A Programmable Peripheral Interface</w:t>
            </w:r>
          </w:p>
          <w:p w:rsidR="00084EEC" w:rsidRDefault="00510AF5" w:rsidP="00510AF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10AF5">
              <w:rPr>
                <w:rFonts w:eastAsia="CMR10" w:cstheme="majorHAnsi"/>
                <w:sz w:val="24"/>
                <w:szCs w:val="24"/>
              </w:rPr>
              <w:t>82C54 Programmable Interval Timer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510A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10AF5">
              <w:rPr>
                <w:rFonts w:cstheme="majorHAnsi"/>
                <w:sz w:val="24"/>
                <w:szCs w:val="24"/>
              </w:rPr>
              <w:t>82C37A Programmable Direct Memory Access Controller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F5" w:rsidRPr="00510AF5" w:rsidRDefault="00510AF5" w:rsidP="00510AF5">
            <w:pPr>
              <w:spacing w:line="360" w:lineRule="auto"/>
              <w:rPr>
                <w:rFonts w:cstheme="majorHAnsi"/>
                <w:sz w:val="24"/>
                <w:szCs w:val="24"/>
              </w:rPr>
            </w:pPr>
            <w:r w:rsidRPr="00510AF5">
              <w:rPr>
                <w:rFonts w:cstheme="majorHAnsi"/>
                <w:sz w:val="24"/>
                <w:szCs w:val="24"/>
              </w:rPr>
              <w:t>Programmable Communication Interface Controllers</w:t>
            </w:r>
          </w:p>
          <w:p w:rsidR="00084EEC" w:rsidRDefault="00510AF5" w:rsidP="00510AF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10AF5">
              <w:rPr>
                <w:rFonts w:cstheme="majorHAnsi"/>
                <w:sz w:val="24"/>
                <w:szCs w:val="24"/>
              </w:rPr>
              <w:t>Keyboard and Display Interface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510AF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10AF5">
              <w:rPr>
                <w:rFonts w:eastAsia="CMR10" w:cstheme="majorHAnsi"/>
                <w:sz w:val="24"/>
                <w:szCs w:val="24"/>
              </w:rPr>
              <w:t>Interrupt Mechanism, Types, and Priority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F5" w:rsidRPr="00510AF5" w:rsidRDefault="00510AF5" w:rsidP="00510AF5">
            <w:pPr>
              <w:rPr>
                <w:rFonts w:eastAsia="CMR10" w:cstheme="majorHAnsi"/>
                <w:sz w:val="24"/>
                <w:szCs w:val="24"/>
              </w:rPr>
            </w:pPr>
            <w:r w:rsidRPr="00510AF5">
              <w:rPr>
                <w:rFonts w:eastAsia="CMR10" w:cstheme="majorHAnsi"/>
                <w:sz w:val="24"/>
                <w:szCs w:val="24"/>
              </w:rPr>
              <w:t>External Hardware-Interrupt Interface Signals</w:t>
            </w:r>
          </w:p>
          <w:p w:rsidR="00084EEC" w:rsidRDefault="00510AF5" w:rsidP="00510AF5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510AF5">
              <w:rPr>
                <w:rFonts w:eastAsia="CMR10" w:cstheme="majorHAnsi"/>
                <w:sz w:val="24"/>
                <w:szCs w:val="24"/>
              </w:rPr>
              <w:t>82C59A Programmable Interrupt Controller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510AF5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510AF5">
              <w:rPr>
                <w:rFonts w:eastAsia="CMR10" w:cstheme="majorHAnsi"/>
                <w:sz w:val="24"/>
                <w:szCs w:val="24"/>
              </w:rPr>
              <w:t>Software Interrupts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15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510AF5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proofErr w:type="spellStart"/>
            <w:r w:rsidRPr="00510AF5">
              <w:rPr>
                <w:rFonts w:eastAsia="CMR10" w:cstheme="majorHAnsi"/>
                <w:sz w:val="24"/>
                <w:szCs w:val="24"/>
              </w:rPr>
              <w:t>Nonmaskable</w:t>
            </w:r>
            <w:proofErr w:type="spellEnd"/>
            <w:r w:rsidRPr="00510AF5">
              <w:rPr>
                <w:rFonts w:eastAsia="CMR10" w:cstheme="majorHAnsi"/>
                <w:sz w:val="24"/>
                <w:szCs w:val="24"/>
              </w:rPr>
              <w:t xml:space="preserve"> Interrupt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16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Preparatory week before the final Exam</w:t>
            </w:r>
          </w:p>
        </w:tc>
      </w:tr>
      <w:tr w:rsidR="00084EEC">
        <w:trPr>
          <w:trHeight w:val="733"/>
        </w:trPr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084EEC" w:rsidRDefault="002817EB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4EEC" w:rsidRDefault="002817E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281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Lab 1: </w:t>
            </w:r>
            <w:r w:rsidR="00405B87" w:rsidRPr="00405B87">
              <w:rPr>
                <w:b/>
                <w:bCs/>
              </w:rPr>
              <w:t xml:space="preserve">Introduction about 8086 microprocessor and Emu8086 and Move Instruction </w:t>
            </w:r>
            <w:r>
              <w:rPr>
                <w:b/>
                <w:bCs/>
              </w:rPr>
              <w:t>(2 Experiments)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2: </w:t>
            </w:r>
            <w:r w:rsidR="00405B87" w:rsidRPr="00405B87">
              <w:rPr>
                <w:b/>
                <w:bCs/>
              </w:rPr>
              <w:t>Addressing Modes and the logical and physical address</w:t>
            </w:r>
          </w:p>
        </w:tc>
      </w:tr>
      <w:tr w:rsidR="00084EEC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  <w:tc>
          <w:tcPr>
            <w:tcW w:w="9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3: </w:t>
            </w:r>
            <w:r w:rsidR="00405B87" w:rsidRPr="00405B87">
              <w:rPr>
                <w:b/>
                <w:bCs/>
              </w:rPr>
              <w:t>The Stack Memory</w:t>
            </w:r>
          </w:p>
        </w:tc>
      </w:tr>
      <w:tr w:rsidR="00084EEC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4: </w:t>
            </w:r>
            <w:r w:rsidR="00405B87" w:rsidRPr="00405B87">
              <w:rPr>
                <w:b/>
                <w:bCs/>
              </w:rPr>
              <w:t>Data Type and Data Define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5: </w:t>
            </w:r>
            <w:r w:rsidR="00405B87" w:rsidRPr="00405B87">
              <w:rPr>
                <w:b/>
                <w:bCs/>
              </w:rPr>
              <w:t>Arithmetic Instructions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6: </w:t>
            </w:r>
            <w:r w:rsidR="00405B87" w:rsidRPr="00405B87">
              <w:rPr>
                <w:b/>
                <w:bCs/>
              </w:rPr>
              <w:t>Logical, Shift and Rotate Instructions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7: </w:t>
            </w:r>
            <w:r w:rsidR="00405B87" w:rsidRPr="00405B87">
              <w:rPr>
                <w:b/>
                <w:bCs/>
              </w:rPr>
              <w:t>Jump Instructions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8: </w:t>
            </w:r>
            <w:r w:rsidR="00405B87" w:rsidRPr="00405B87">
              <w:rPr>
                <w:b/>
                <w:bCs/>
              </w:rPr>
              <w:t>Loop Instructions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281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9:  </w:t>
            </w:r>
            <w:r w:rsidR="00405B87" w:rsidRPr="00405B87">
              <w:rPr>
                <w:b/>
                <w:bCs/>
              </w:rPr>
              <w:t>Flag Control Instructions and Interrupt Service Routine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281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10:  </w:t>
            </w:r>
            <w:r w:rsidR="00405B87" w:rsidRPr="00405B87">
              <w:rPr>
                <w:b/>
                <w:bCs/>
              </w:rPr>
              <w:t>Introduction to MDA-Win8086 board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281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11:  </w:t>
            </w:r>
            <w:r w:rsidR="00405B87" w:rsidRPr="00405B87">
              <w:rPr>
                <w:b/>
                <w:bCs/>
              </w:rPr>
              <w:t>The Architecture of 8255 Interface and Using Them with LEDs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281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12: </w:t>
            </w:r>
            <w:r w:rsidR="00405B87" w:rsidRPr="00405B87">
              <w:rPr>
                <w:b/>
                <w:bCs/>
              </w:rPr>
              <w:t>8255 Interface with 7-segment Display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281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13:  </w:t>
            </w:r>
            <w:r w:rsidR="00405B87" w:rsidRPr="00405B87">
              <w:rPr>
                <w:b/>
                <w:bCs/>
              </w:rPr>
              <w:t>Dot Matrix</w:t>
            </w:r>
          </w:p>
        </w:tc>
      </w:tr>
      <w:tr w:rsidR="00084EE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281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14:  </w:t>
            </w:r>
            <w:r w:rsidR="00405B87" w:rsidRPr="00405B87">
              <w:rPr>
                <w:b/>
                <w:bCs/>
              </w:rPr>
              <w:t>D/A Convertor</w:t>
            </w:r>
          </w:p>
        </w:tc>
      </w:tr>
      <w:tr w:rsidR="00084EEC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EC" w:rsidRDefault="00281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15:  </w:t>
            </w:r>
            <w:r w:rsidR="00405B87" w:rsidRPr="00405B87">
              <w:rPr>
                <w:b/>
                <w:bCs/>
              </w:rPr>
              <w:t>A/D Convertor</w:t>
            </w:r>
          </w:p>
        </w:tc>
      </w:tr>
    </w:tbl>
    <w:p w:rsidR="00084EEC" w:rsidRDefault="00084EEC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084EEC" w:rsidRDefault="00084EEC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084EEC" w:rsidRDefault="00084EEC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084EEC" w:rsidRDefault="00084EEC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084EEC" w:rsidRDefault="00084EEC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084EEC" w:rsidRDefault="00084EEC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084EEC" w:rsidRDefault="00084EEC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tbl>
      <w:tblPr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934"/>
        <w:gridCol w:w="5866"/>
        <w:gridCol w:w="2715"/>
      </w:tblGrid>
      <w:tr w:rsidR="00084EEC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84EEC" w:rsidRDefault="002817EB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084EEC" w:rsidRDefault="002817EB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084EEC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084EEC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084EEC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Default="004E79F8" w:rsidP="004E79F8">
            <w:pPr>
              <w:pStyle w:val="ListParagraph"/>
              <w:numPr>
                <w:ilvl w:val="0"/>
                <w:numId w:val="12"/>
              </w:numPr>
              <w:spacing w:line="312" w:lineRule="auto"/>
              <w:rPr>
                <w:rFonts w:asciiTheme="majorHAnsi" w:hAnsiTheme="majorHAnsi" w:cstheme="majorHAnsi"/>
              </w:rPr>
            </w:pPr>
            <w:r w:rsidRPr="004E79F8">
              <w:rPr>
                <w:rFonts w:cstheme="majorHAnsi"/>
                <w:color w:val="1D1D1D"/>
              </w:rPr>
              <w:t>Liu &amp; Gibson: “The 8088/8086 Microprocessor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spacing w:line="312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cstheme="majorHAnsi"/>
              </w:rPr>
              <w:t xml:space="preserve"> </w:t>
            </w:r>
          </w:p>
        </w:tc>
      </w:tr>
      <w:tr w:rsidR="00084EEC">
        <w:trPr>
          <w:trHeight w:val="64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84EEC" w:rsidRDefault="002817EB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EEC" w:rsidRPr="00405B87" w:rsidRDefault="00405B87" w:rsidP="00405B87">
            <w:pPr>
              <w:spacing w:line="312" w:lineRule="auto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 w:rsidRPr="00405B87">
              <w:rPr>
                <w:rFonts w:cstheme="majorHAnsi"/>
              </w:rPr>
              <w:t xml:space="preserve">Walter A. </w:t>
            </w:r>
            <w:proofErr w:type="spellStart"/>
            <w:r w:rsidRPr="00405B87">
              <w:rPr>
                <w:rFonts w:cstheme="majorHAnsi"/>
              </w:rPr>
              <w:t>Triebel</w:t>
            </w:r>
            <w:proofErr w:type="spellEnd"/>
            <w:r w:rsidRPr="00405B87">
              <w:rPr>
                <w:rFonts w:cstheme="majorHAnsi"/>
              </w:rPr>
              <w:t xml:space="preserve"> &amp; Avatar Singh: “The 8088/8086 Microprocessors”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EC" w:rsidRDefault="00084EEC">
            <w:pPr>
              <w:spacing w:line="312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084EEC" w:rsidRDefault="00084EEC">
      <w:pPr>
        <w:tabs>
          <w:tab w:val="left" w:pos="1980"/>
        </w:tabs>
        <w:jc w:val="both"/>
        <w:rPr>
          <w:b/>
          <w:sz w:val="32"/>
          <w:szCs w:val="32"/>
        </w:rPr>
      </w:pPr>
    </w:p>
    <w:p w:rsidR="00084EEC" w:rsidRDefault="00084EEC">
      <w:pPr>
        <w:tabs>
          <w:tab w:val="left" w:pos="1980"/>
        </w:tabs>
        <w:jc w:val="both"/>
        <w:rPr>
          <w:b/>
          <w:sz w:val="32"/>
          <w:szCs w:val="32"/>
        </w:rPr>
      </w:pPr>
    </w:p>
    <w:tbl>
      <w:tblPr>
        <w:tblW w:w="1050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09"/>
        <w:gridCol w:w="2085"/>
        <w:gridCol w:w="1155"/>
        <w:gridCol w:w="3931"/>
      </w:tblGrid>
      <w:tr w:rsidR="00084EEC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084EEC" w:rsidRDefault="002817EB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2" w:name="_heading=h.30j0zll"/>
            <w:bookmarkEnd w:id="2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:rsidR="00084EEC" w:rsidRDefault="002817EB">
            <w:pP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084EEC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84EEC" w:rsidRDefault="002817E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084EEC" w:rsidRDefault="002817EB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084EEC" w:rsidRDefault="002817EB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084EEC" w:rsidRDefault="002817EB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084EEC" w:rsidRDefault="002817EB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084EEC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:rsidR="00084EEC" w:rsidRDefault="002817EB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r>
              <w:t>90 - 100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r>
              <w:t>Outstanding Performance</w:t>
            </w:r>
          </w:p>
        </w:tc>
      </w:tr>
      <w:tr w:rsidR="00084EEC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r>
              <w:t>80 - 89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r>
              <w:t>Above average with some errors</w:t>
            </w:r>
          </w:p>
        </w:tc>
      </w:tr>
      <w:tr w:rsidR="00084EEC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r>
              <w:t>70 - 79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r>
              <w:t>Sound work with notable errors</w:t>
            </w:r>
          </w:p>
        </w:tc>
      </w:tr>
      <w:tr w:rsidR="00084EEC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r>
              <w:t>60 - 69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r>
              <w:t>Fair but with major shortcomings</w:t>
            </w:r>
          </w:p>
        </w:tc>
      </w:tr>
      <w:tr w:rsidR="00084EEC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r>
              <w:t>50 - 59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r>
              <w:t>Work meets minimum criteria</w:t>
            </w:r>
          </w:p>
        </w:tc>
      </w:tr>
      <w:tr w:rsidR="00084EEC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:rsidR="00084EEC" w:rsidRDefault="002817EB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راسب (قيد المعالجة)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r>
              <w:t>(45-49)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r>
              <w:t>More work required but credit awarded</w:t>
            </w:r>
          </w:p>
        </w:tc>
      </w:tr>
      <w:tr w:rsidR="00084EEC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EEC" w:rsidRDefault="00084EEC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4EEC" w:rsidRDefault="002817EB">
            <w:r>
              <w:t>(0-44)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EEC" w:rsidRDefault="002817EB">
            <w:r>
              <w:t>Considerable amount of work required</w:t>
            </w:r>
          </w:p>
        </w:tc>
      </w:tr>
      <w:tr w:rsidR="00084EEC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084EEC" w:rsidRDefault="00084EEC">
            <w:pPr>
              <w:rPr>
                <w:b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084EEC" w:rsidRDefault="00084EEC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084EEC" w:rsidRDefault="00084EEC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084EEC" w:rsidRDefault="00084EEC">
            <w:pPr>
              <w:rPr>
                <w:b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084EEC" w:rsidRDefault="00084EEC">
            <w:pPr>
              <w:rPr>
                <w:b/>
              </w:rPr>
            </w:pPr>
          </w:p>
        </w:tc>
      </w:tr>
      <w:tr w:rsidR="00084EEC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EEC" w:rsidRDefault="00084EEC">
            <w:pPr>
              <w:rPr>
                <w:sz w:val="16"/>
                <w:szCs w:val="16"/>
              </w:rPr>
            </w:pPr>
          </w:p>
          <w:p w:rsidR="00084EEC" w:rsidRDefault="002817EB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Note:</w:t>
            </w:r>
            <w:r>
              <w:t xml:space="preserve"> Marks 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</w:tc>
      </w:tr>
    </w:tbl>
    <w:p w:rsidR="00084EEC" w:rsidRDefault="00084EEC">
      <w:pPr>
        <w:bidi/>
        <w:spacing w:after="200" w:line="276" w:lineRule="auto"/>
      </w:pPr>
    </w:p>
    <w:sectPr w:rsidR="00084EEC">
      <w:footerReference w:type="even" r:id="rId10"/>
      <w:footerReference w:type="default" r:id="rId11"/>
      <w:footerReference w:type="first" r:id="rId12"/>
      <w:pgSz w:w="11906" w:h="16838"/>
      <w:pgMar w:top="1440" w:right="1440" w:bottom="1135" w:left="1440" w:header="0" w:footer="22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7B" w:rsidRDefault="00A0457B">
      <w:pPr>
        <w:spacing w:after="0" w:line="240" w:lineRule="auto"/>
      </w:pPr>
      <w:r>
        <w:separator/>
      </w:r>
    </w:p>
  </w:endnote>
  <w:endnote w:type="continuationSeparator" w:id="0">
    <w:p w:rsidR="00A0457B" w:rsidRDefault="00A0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MR1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EB" w:rsidRDefault="002817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EB" w:rsidRDefault="002817EB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CD7810">
      <w:rPr>
        <w:noProof/>
        <w:color w:val="000000"/>
      </w:rPr>
      <w:t>1</w:t>
    </w:r>
    <w:r>
      <w:rPr>
        <w:color w:val="000000"/>
      </w:rPr>
      <w:fldChar w:fldCharType="end"/>
    </w:r>
  </w:p>
  <w:p w:rsidR="002817EB" w:rsidRDefault="002817EB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EB" w:rsidRDefault="002817EB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8</w:t>
    </w:r>
    <w:r>
      <w:rPr>
        <w:color w:val="000000"/>
      </w:rPr>
      <w:fldChar w:fldCharType="end"/>
    </w:r>
  </w:p>
  <w:p w:rsidR="002817EB" w:rsidRDefault="002817EB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7B" w:rsidRDefault="00A0457B">
      <w:pPr>
        <w:spacing w:after="0" w:line="240" w:lineRule="auto"/>
      </w:pPr>
      <w:r>
        <w:separator/>
      </w:r>
    </w:p>
  </w:footnote>
  <w:footnote w:type="continuationSeparator" w:id="0">
    <w:p w:rsidR="00A0457B" w:rsidRDefault="00A04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869"/>
    <w:multiLevelType w:val="hybridMultilevel"/>
    <w:tmpl w:val="1DC0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13A8"/>
    <w:multiLevelType w:val="multilevel"/>
    <w:tmpl w:val="B5D2BE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704E9A"/>
    <w:multiLevelType w:val="multilevel"/>
    <w:tmpl w:val="3E6E875A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3">
    <w:nsid w:val="26025DB8"/>
    <w:multiLevelType w:val="multilevel"/>
    <w:tmpl w:val="6D245F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79527FD"/>
    <w:multiLevelType w:val="multilevel"/>
    <w:tmpl w:val="AC7A63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0255D"/>
    <w:multiLevelType w:val="multilevel"/>
    <w:tmpl w:val="231AF51A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6">
    <w:nsid w:val="35E95F0F"/>
    <w:multiLevelType w:val="multilevel"/>
    <w:tmpl w:val="FA58C0A0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7">
    <w:nsid w:val="36410AF7"/>
    <w:multiLevelType w:val="multilevel"/>
    <w:tmpl w:val="C50C179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87D415F"/>
    <w:multiLevelType w:val="multilevel"/>
    <w:tmpl w:val="13AAB2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A3BDA"/>
    <w:multiLevelType w:val="multilevel"/>
    <w:tmpl w:val="A8A424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26850B0"/>
    <w:multiLevelType w:val="multilevel"/>
    <w:tmpl w:val="783C117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2746787"/>
    <w:multiLevelType w:val="multilevel"/>
    <w:tmpl w:val="D95630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71C6D"/>
    <w:multiLevelType w:val="multilevel"/>
    <w:tmpl w:val="73CE1E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A74B56"/>
    <w:multiLevelType w:val="multilevel"/>
    <w:tmpl w:val="CDD6083E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53076CF"/>
    <w:multiLevelType w:val="multilevel"/>
    <w:tmpl w:val="4C1C33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EC"/>
    <w:rsid w:val="0003649B"/>
    <w:rsid w:val="00084EEC"/>
    <w:rsid w:val="00125A17"/>
    <w:rsid w:val="0025403E"/>
    <w:rsid w:val="002817EB"/>
    <w:rsid w:val="00404FD0"/>
    <w:rsid w:val="00405B87"/>
    <w:rsid w:val="004E79F8"/>
    <w:rsid w:val="00510AF5"/>
    <w:rsid w:val="00612AA4"/>
    <w:rsid w:val="00661B6C"/>
    <w:rsid w:val="00725AAA"/>
    <w:rsid w:val="00933436"/>
    <w:rsid w:val="00970765"/>
    <w:rsid w:val="00976028"/>
    <w:rsid w:val="00A0457B"/>
    <w:rsid w:val="00A866C6"/>
    <w:rsid w:val="00B63A62"/>
    <w:rsid w:val="00BB0AF9"/>
    <w:rsid w:val="00CD7810"/>
    <w:rsid w:val="00DF72F7"/>
    <w:rsid w:val="00E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3B"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1959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959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9592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959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84C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2B7D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F6B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qFormat/>
    <w:rsid w:val="003F3076"/>
    <w:rPr>
      <w:rFonts w:asciiTheme="majorBidi" w:hAnsiTheme="majorBidi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3076"/>
  </w:style>
  <w:style w:type="character" w:customStyle="1" w:styleId="FooterChar">
    <w:name w:val="Footer Char"/>
    <w:basedOn w:val="DefaultParagraphFont"/>
    <w:link w:val="Footer"/>
    <w:uiPriority w:val="99"/>
    <w:qFormat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qFormat/>
    <w:rsid w:val="002E78EC"/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F6D33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195924"/>
    <w:pPr>
      <w:spacing w:after="160" w:line="259" w:lineRule="auto"/>
    </w:pPr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959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paragraph" w:styleId="Revision">
    <w:name w:val="Revision"/>
    <w:uiPriority w:val="99"/>
    <w:semiHidden/>
    <w:qFormat/>
    <w:rsid w:val="009B6BA4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6B0F"/>
    <w:pPr>
      <w:spacing w:line="240" w:lineRule="auto"/>
    </w:pPr>
    <w:rPr>
      <w:sz w:val="20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75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81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1">
    <w:name w:val="List Table 6 Colorful1"/>
    <w:basedOn w:val="TableNormal"/>
    <w:uiPriority w:val="51"/>
    <w:rsid w:val="00316B6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3B"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1959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959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9592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959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84C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2B7D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F6B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qFormat/>
    <w:rsid w:val="003F3076"/>
    <w:rPr>
      <w:rFonts w:asciiTheme="majorBidi" w:hAnsiTheme="majorBidi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3076"/>
  </w:style>
  <w:style w:type="character" w:customStyle="1" w:styleId="FooterChar">
    <w:name w:val="Footer Char"/>
    <w:basedOn w:val="DefaultParagraphFont"/>
    <w:link w:val="Footer"/>
    <w:uiPriority w:val="99"/>
    <w:qFormat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qFormat/>
    <w:rsid w:val="002E78EC"/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F6D33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195924"/>
    <w:pPr>
      <w:spacing w:after="160" w:line="259" w:lineRule="auto"/>
    </w:pPr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959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paragraph" w:styleId="Revision">
    <w:name w:val="Revision"/>
    <w:uiPriority w:val="99"/>
    <w:semiHidden/>
    <w:qFormat/>
    <w:rsid w:val="009B6BA4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6B0F"/>
    <w:pPr>
      <w:spacing w:line="240" w:lineRule="auto"/>
    </w:pPr>
    <w:rPr>
      <w:sz w:val="20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75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81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1">
    <w:name w:val="List Table 6 Colorful1"/>
    <w:basedOn w:val="TableNormal"/>
    <w:uiPriority w:val="51"/>
    <w:rsid w:val="00316B6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7SSDYfkaaMye1qtn/1Bl5ONHS3w==">CgMxLjAyCGguZ2pkZ3hzMgloLjMwajB6bGw4AHIhMW5PR2lxaC14VGtuUmp5RVNZSHpVT29ibHdrRFlCM3Et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1947FA-D7FB-4F7A-A7DA-D5B20E89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Zinah</cp:lastModifiedBy>
  <cp:revision>2</cp:revision>
  <dcterms:created xsi:type="dcterms:W3CDTF">2025-02-23T19:24:00Z</dcterms:created>
  <dcterms:modified xsi:type="dcterms:W3CDTF">2025-02-23T19:24:00Z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